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C60D" w14:textId="77777777" w:rsidR="00F34F47" w:rsidRDefault="00D6356C">
      <w:pPr>
        <w:pStyle w:val="Body"/>
        <w:rPr>
          <w:rFonts w:ascii="Verdana" w:hAnsi="Verdana"/>
          <w:color w:val="7232AD"/>
          <w:sz w:val="24"/>
          <w:szCs w:val="24"/>
          <w:u w:color="7232AD"/>
        </w:rPr>
      </w:pPr>
      <w:r>
        <w:rPr>
          <w:noProof/>
          <w:sz w:val="24"/>
          <w:szCs w:val="24"/>
        </w:rPr>
        <w:drawing>
          <wp:anchor distT="57150" distB="57150" distL="57150" distR="57150" simplePos="0" relativeHeight="251659264" behindDoc="0" locked="0" layoutInCell="1" allowOverlap="1" wp14:anchorId="3C3DD6A8" wp14:editId="2B60C9D1">
            <wp:simplePos x="0" y="0"/>
            <wp:positionH relativeFrom="page">
              <wp:posOffset>3394800</wp:posOffset>
            </wp:positionH>
            <wp:positionV relativeFrom="line">
              <wp:posOffset>0</wp:posOffset>
            </wp:positionV>
            <wp:extent cx="982800" cy="1004401"/>
            <wp:effectExtent l="0" t="0" r="0" b="0"/>
            <wp:wrapThrough wrapText="bothSides" distL="57150" distR="57150">
              <wp:wrapPolygon edited="1">
                <wp:start x="12273" y="240"/>
                <wp:lineTo x="17182" y="720"/>
                <wp:lineTo x="18900" y="1920"/>
                <wp:lineTo x="14727" y="1440"/>
                <wp:lineTo x="11536" y="2640"/>
                <wp:lineTo x="9818" y="5040"/>
                <wp:lineTo x="15218" y="5520"/>
                <wp:lineTo x="19145" y="9360"/>
                <wp:lineTo x="19882" y="13680"/>
                <wp:lineTo x="18900" y="17520"/>
                <wp:lineTo x="15464" y="20640"/>
                <wp:lineTo x="14727" y="20640"/>
                <wp:lineTo x="17427" y="17760"/>
                <wp:lineTo x="17427" y="12240"/>
                <wp:lineTo x="16445" y="11520"/>
                <wp:lineTo x="14482" y="14880"/>
                <wp:lineTo x="11291" y="16800"/>
                <wp:lineTo x="5400" y="16560"/>
                <wp:lineTo x="1964" y="14160"/>
                <wp:lineTo x="245" y="10800"/>
                <wp:lineTo x="491" y="8880"/>
                <wp:lineTo x="2700" y="12720"/>
                <wp:lineTo x="5645" y="14160"/>
                <wp:lineTo x="7609" y="13920"/>
                <wp:lineTo x="5645" y="10320"/>
                <wp:lineTo x="6136" y="5040"/>
                <wp:lineTo x="9327" y="1474"/>
                <wp:lineTo x="12518" y="8880"/>
                <wp:lineTo x="9327" y="8880"/>
                <wp:lineTo x="10800" y="12000"/>
                <wp:lineTo x="12027" y="12000"/>
                <wp:lineTo x="13500" y="8880"/>
                <wp:lineTo x="12518" y="8880"/>
                <wp:lineTo x="9327" y="1474"/>
                <wp:lineTo x="9573" y="1200"/>
                <wp:lineTo x="12273" y="24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982800" cy="1004401"/>
                    </a:xfrm>
                    <a:prstGeom prst="rect">
                      <a:avLst/>
                    </a:prstGeom>
                    <a:ln w="12700" cap="flat">
                      <a:noFill/>
                      <a:miter lim="400000"/>
                    </a:ln>
                    <a:effectLst/>
                  </pic:spPr>
                </pic:pic>
              </a:graphicData>
            </a:graphic>
          </wp:anchor>
        </w:drawing>
      </w:r>
    </w:p>
    <w:p w14:paraId="4B47C760" w14:textId="77777777" w:rsidR="00F34F47" w:rsidRDefault="00F34F47">
      <w:pPr>
        <w:pStyle w:val="Body"/>
        <w:rPr>
          <w:rFonts w:ascii="Verdana" w:hAnsi="Verdana"/>
          <w:color w:val="7232AD"/>
          <w:sz w:val="24"/>
          <w:szCs w:val="24"/>
          <w:u w:color="7232AD"/>
        </w:rPr>
      </w:pPr>
    </w:p>
    <w:p w14:paraId="1BB88206" w14:textId="77777777" w:rsidR="00F34F47" w:rsidRDefault="00F34F47">
      <w:pPr>
        <w:pStyle w:val="Body"/>
        <w:rPr>
          <w:rFonts w:ascii="Verdana" w:hAnsi="Verdana"/>
          <w:color w:val="7232AD"/>
          <w:sz w:val="24"/>
          <w:szCs w:val="24"/>
          <w:u w:color="7232AD"/>
        </w:rPr>
      </w:pPr>
    </w:p>
    <w:p w14:paraId="1060D2FC" w14:textId="77777777" w:rsidR="00F34F47" w:rsidRDefault="00F34F47">
      <w:pPr>
        <w:pStyle w:val="Body"/>
        <w:rPr>
          <w:rFonts w:ascii="Verdana" w:hAnsi="Verdana"/>
          <w:color w:val="7232AD"/>
          <w:sz w:val="24"/>
          <w:szCs w:val="24"/>
          <w:u w:color="7232AD"/>
        </w:rPr>
      </w:pPr>
    </w:p>
    <w:p w14:paraId="6D8AC6DD" w14:textId="77777777" w:rsidR="00F34F47" w:rsidRDefault="00F34F47">
      <w:pPr>
        <w:pStyle w:val="Body"/>
        <w:rPr>
          <w:rFonts w:ascii="Verdana" w:hAnsi="Verdana"/>
          <w:color w:val="7232AD"/>
          <w:sz w:val="24"/>
          <w:szCs w:val="24"/>
          <w:u w:color="7232AD"/>
        </w:rPr>
      </w:pPr>
    </w:p>
    <w:p w14:paraId="7FFC0AC3" w14:textId="77777777" w:rsidR="00F34F47" w:rsidRDefault="00F34F47">
      <w:pPr>
        <w:pStyle w:val="Body"/>
        <w:rPr>
          <w:rFonts w:ascii="Verdana" w:hAnsi="Verdana"/>
          <w:color w:val="7232AD"/>
          <w:sz w:val="24"/>
          <w:szCs w:val="24"/>
          <w:u w:color="7232AD"/>
        </w:rPr>
      </w:pPr>
    </w:p>
    <w:p w14:paraId="0335CC0F" w14:textId="77777777" w:rsidR="00F34F47" w:rsidRDefault="00F34F47">
      <w:pPr>
        <w:pStyle w:val="Body"/>
        <w:rPr>
          <w:rFonts w:ascii="Verdana" w:hAnsi="Verdana"/>
          <w:color w:val="7232AD"/>
          <w:sz w:val="24"/>
          <w:szCs w:val="24"/>
          <w:u w:color="7232AD"/>
        </w:rPr>
      </w:pPr>
    </w:p>
    <w:p w14:paraId="41E2209C" w14:textId="77777777" w:rsidR="00F34F47" w:rsidRDefault="00D6356C">
      <w:pPr>
        <w:pStyle w:val="Body"/>
        <w:jc w:val="center"/>
        <w:rPr>
          <w:rFonts w:ascii="Arial" w:eastAsia="Arial" w:hAnsi="Arial" w:cs="Arial"/>
          <w:b/>
          <w:bCs/>
          <w:color w:val="7232AD"/>
          <w:sz w:val="24"/>
          <w:szCs w:val="24"/>
          <w:u w:color="7232AD"/>
        </w:rPr>
      </w:pPr>
      <w:r>
        <w:rPr>
          <w:rFonts w:ascii="Arial" w:hAnsi="Arial"/>
          <w:b/>
          <w:bCs/>
          <w:color w:val="7232AD"/>
          <w:sz w:val="24"/>
          <w:szCs w:val="24"/>
          <w:u w:color="7232AD"/>
          <w:lang w:val="en-US"/>
        </w:rPr>
        <w:t>Vidar Foundation</w:t>
      </w:r>
    </w:p>
    <w:p w14:paraId="1B09CD41" w14:textId="77777777" w:rsidR="00F34F47" w:rsidRDefault="00F34F47">
      <w:pPr>
        <w:pStyle w:val="Body"/>
        <w:rPr>
          <w:rFonts w:ascii="Arial" w:eastAsia="Arial" w:hAnsi="Arial" w:cs="Arial"/>
          <w:b/>
          <w:bCs/>
          <w:color w:val="7232AD"/>
          <w:sz w:val="24"/>
          <w:szCs w:val="24"/>
          <w:u w:color="7232AD"/>
        </w:rPr>
      </w:pPr>
    </w:p>
    <w:p w14:paraId="6213F327" w14:textId="77777777" w:rsidR="00F34F47" w:rsidRDefault="00D6356C">
      <w:pPr>
        <w:pStyle w:val="BNS2"/>
        <w:spacing w:after="0"/>
        <w:ind w:left="720" w:hanging="720"/>
        <w:jc w:val="center"/>
        <w:rPr>
          <w:rFonts w:ascii="Arial" w:eastAsia="Arial" w:hAnsi="Arial" w:cs="Arial"/>
          <w:shd w:val="clear" w:color="auto" w:fill="FFFFFF"/>
        </w:rPr>
      </w:pPr>
      <w:r>
        <w:rPr>
          <w:rFonts w:ascii="Arial" w:hAnsi="Arial"/>
          <w:shd w:val="clear" w:color="auto" w:fill="FFFFFF"/>
        </w:rPr>
        <w:t>1906 South Orr Lake Rd.</w:t>
      </w:r>
    </w:p>
    <w:p w14:paraId="32641661" w14:textId="77777777" w:rsidR="00F34F47" w:rsidRDefault="00D6356C">
      <w:pPr>
        <w:pStyle w:val="BNS2"/>
        <w:spacing w:after="0"/>
        <w:ind w:left="720" w:hanging="720"/>
        <w:jc w:val="center"/>
        <w:rPr>
          <w:rFonts w:ascii="Arial" w:eastAsia="Arial" w:hAnsi="Arial" w:cs="Arial"/>
          <w:shd w:val="clear" w:color="auto" w:fill="FFFFFF"/>
        </w:rPr>
      </w:pPr>
      <w:r>
        <w:rPr>
          <w:rFonts w:ascii="Arial" w:hAnsi="Arial"/>
          <w:shd w:val="clear" w:color="auto" w:fill="FFFFFF"/>
        </w:rPr>
        <w:t>Elmvale, ON</w:t>
      </w:r>
    </w:p>
    <w:p w14:paraId="44BB60B4" w14:textId="77777777" w:rsidR="00F34F47" w:rsidRDefault="00D6356C">
      <w:pPr>
        <w:pStyle w:val="BNS2"/>
        <w:spacing w:after="0"/>
        <w:ind w:left="720" w:hanging="720"/>
        <w:jc w:val="center"/>
        <w:rPr>
          <w:rFonts w:ascii="Arial" w:eastAsia="Arial" w:hAnsi="Arial" w:cs="Arial"/>
        </w:rPr>
      </w:pPr>
      <w:r>
        <w:rPr>
          <w:rFonts w:ascii="Arial" w:hAnsi="Arial"/>
          <w:shd w:val="clear" w:color="auto" w:fill="FFFFFF"/>
        </w:rPr>
        <w:t>L0L 1P0</w:t>
      </w:r>
    </w:p>
    <w:p w14:paraId="6379AE95" w14:textId="77777777" w:rsidR="00F34F47" w:rsidRDefault="00F34F47">
      <w:pPr>
        <w:pStyle w:val="Body"/>
        <w:jc w:val="center"/>
        <w:rPr>
          <w:rFonts w:ascii="Arial" w:eastAsia="Arial" w:hAnsi="Arial" w:cs="Arial"/>
          <w:color w:val="666666"/>
          <w:sz w:val="24"/>
          <w:szCs w:val="24"/>
          <w:u w:color="666666"/>
        </w:rPr>
      </w:pPr>
    </w:p>
    <w:p w14:paraId="4E2B7820" w14:textId="77777777" w:rsidR="00F34F47" w:rsidRDefault="00F34F47">
      <w:pPr>
        <w:pStyle w:val="Body"/>
        <w:rPr>
          <w:rFonts w:ascii="Arial" w:eastAsia="Arial" w:hAnsi="Arial" w:cs="Arial"/>
          <w:color w:val="666666"/>
          <w:sz w:val="24"/>
          <w:szCs w:val="24"/>
          <w:u w:color="666666"/>
        </w:rPr>
      </w:pPr>
    </w:p>
    <w:p w14:paraId="74AC2FF9" w14:textId="77777777" w:rsidR="00F34F47" w:rsidRDefault="00F34F47">
      <w:pPr>
        <w:pStyle w:val="Body"/>
        <w:rPr>
          <w:rFonts w:ascii="Arial" w:eastAsia="Arial" w:hAnsi="Arial" w:cs="Arial"/>
          <w:color w:val="666666"/>
          <w:sz w:val="24"/>
          <w:szCs w:val="24"/>
          <w:u w:color="666666"/>
        </w:rPr>
      </w:pPr>
    </w:p>
    <w:p w14:paraId="0CB9672F" w14:textId="77777777" w:rsidR="00F34F47" w:rsidRDefault="00D6356C">
      <w:pPr>
        <w:pStyle w:val="Body"/>
        <w:jc w:val="center"/>
        <w:rPr>
          <w:rFonts w:ascii="Arial" w:eastAsia="Arial" w:hAnsi="Arial" w:cs="Arial"/>
          <w:b/>
          <w:bCs/>
          <w:color w:val="7030A0"/>
          <w:sz w:val="24"/>
          <w:szCs w:val="24"/>
          <w:u w:color="7030A0"/>
        </w:rPr>
      </w:pPr>
      <w:r>
        <w:rPr>
          <w:rFonts w:ascii="Arial" w:hAnsi="Arial"/>
          <w:b/>
          <w:bCs/>
          <w:color w:val="7030A0"/>
          <w:sz w:val="24"/>
          <w:szCs w:val="24"/>
          <w:u w:color="7030A0"/>
          <w:lang w:val="en-US"/>
        </w:rPr>
        <w:t>Vidar Foundation Tuition Loan Program</w:t>
      </w:r>
    </w:p>
    <w:p w14:paraId="3FB83623" w14:textId="77777777" w:rsidR="00F34F47" w:rsidRDefault="00F34F47">
      <w:pPr>
        <w:pStyle w:val="Body"/>
        <w:rPr>
          <w:rFonts w:ascii="Arial" w:eastAsia="Arial" w:hAnsi="Arial" w:cs="Arial"/>
          <w:color w:val="666666"/>
          <w:sz w:val="24"/>
          <w:szCs w:val="24"/>
          <w:u w:color="666666"/>
        </w:rPr>
      </w:pPr>
    </w:p>
    <w:p w14:paraId="1901C22C" w14:textId="77777777" w:rsidR="00F34F47" w:rsidRDefault="00F34F47">
      <w:pPr>
        <w:pStyle w:val="Body"/>
        <w:rPr>
          <w:rFonts w:ascii="Arial" w:eastAsia="Arial" w:hAnsi="Arial" w:cs="Arial"/>
          <w:color w:val="666666"/>
          <w:sz w:val="24"/>
          <w:szCs w:val="24"/>
          <w:u w:color="666666"/>
        </w:rPr>
      </w:pPr>
    </w:p>
    <w:p w14:paraId="7382C336" w14:textId="77777777" w:rsidR="00F34F47" w:rsidRDefault="00D6356C">
      <w:pPr>
        <w:pStyle w:val="Body"/>
        <w:jc w:val="center"/>
        <w:rPr>
          <w:rFonts w:ascii="Arial" w:eastAsia="Arial" w:hAnsi="Arial" w:cs="Arial"/>
          <w:color w:val="666666"/>
          <w:sz w:val="24"/>
          <w:szCs w:val="24"/>
          <w:u w:color="666666"/>
        </w:rPr>
      </w:pPr>
      <w:r>
        <w:rPr>
          <w:rFonts w:ascii="Arial" w:hAnsi="Arial"/>
          <w:color w:val="666666"/>
          <w:sz w:val="24"/>
          <w:szCs w:val="24"/>
          <w:u w:color="666666"/>
          <w:lang w:val="en-US"/>
        </w:rPr>
        <w:t>In partnership with</w:t>
      </w:r>
    </w:p>
    <w:p w14:paraId="7A87D56A" w14:textId="77777777" w:rsidR="00F34F47" w:rsidRDefault="00F34F47">
      <w:pPr>
        <w:pStyle w:val="Body"/>
        <w:rPr>
          <w:rFonts w:ascii="Arial" w:eastAsia="Arial" w:hAnsi="Arial" w:cs="Arial"/>
          <w:color w:val="666666"/>
          <w:sz w:val="24"/>
          <w:szCs w:val="24"/>
          <w:u w:color="666666"/>
        </w:rPr>
      </w:pPr>
    </w:p>
    <w:p w14:paraId="48134BCD" w14:textId="77777777" w:rsidR="00F34F47" w:rsidRDefault="00F34F47">
      <w:pPr>
        <w:pStyle w:val="Heading3"/>
        <w:shd w:val="clear" w:color="auto" w:fill="FFFFFF"/>
        <w:spacing w:before="0" w:after="0"/>
        <w:jc w:val="center"/>
        <w:rPr>
          <w:rFonts w:ascii="Calibri" w:eastAsia="Calibri" w:hAnsi="Calibri" w:cs="Calibri"/>
          <w:b w:val="0"/>
          <w:bCs w:val="0"/>
          <w:sz w:val="24"/>
          <w:szCs w:val="24"/>
        </w:rPr>
      </w:pPr>
    </w:p>
    <w:p w14:paraId="274FE0E6" w14:textId="77777777" w:rsidR="00F34F47" w:rsidRDefault="00D6356C">
      <w:pPr>
        <w:pStyle w:val="Heading3"/>
        <w:shd w:val="clear" w:color="auto" w:fill="FFFFFF"/>
        <w:spacing w:before="0" w:after="0"/>
        <w:jc w:val="center"/>
        <w:rPr>
          <w:rFonts w:ascii="Calibri" w:eastAsia="Calibri" w:hAnsi="Calibri" w:cs="Calibri"/>
          <w:b w:val="0"/>
          <w:bCs w:val="0"/>
          <w:sz w:val="24"/>
          <w:szCs w:val="24"/>
        </w:rPr>
      </w:pPr>
      <w:r>
        <w:rPr>
          <w:noProof/>
          <w:sz w:val="24"/>
          <w:szCs w:val="24"/>
        </w:rPr>
        <w:drawing>
          <wp:inline distT="0" distB="0" distL="0" distR="0" wp14:anchorId="3B2B2826" wp14:editId="01B00FC0">
            <wp:extent cx="3200400" cy="1006475"/>
            <wp:effectExtent l="0" t="0" r="0" b="0"/>
            <wp:docPr id="1073741826" name="officeArt object" descr="Picture 1269235954"/>
            <wp:cNvGraphicFramePr/>
            <a:graphic xmlns:a="http://schemas.openxmlformats.org/drawingml/2006/main">
              <a:graphicData uri="http://schemas.openxmlformats.org/drawingml/2006/picture">
                <pic:pic xmlns:pic="http://schemas.openxmlformats.org/drawingml/2006/picture">
                  <pic:nvPicPr>
                    <pic:cNvPr id="1073741826" name="Picture 1269235954" descr="Picture 1269235954"/>
                    <pic:cNvPicPr>
                      <a:picLocks noChangeAspect="1"/>
                    </pic:cNvPicPr>
                  </pic:nvPicPr>
                  <pic:blipFill>
                    <a:blip r:embed="rId8"/>
                    <a:stretch>
                      <a:fillRect/>
                    </a:stretch>
                  </pic:blipFill>
                  <pic:spPr>
                    <a:xfrm>
                      <a:off x="0" y="0"/>
                      <a:ext cx="3200400" cy="1006475"/>
                    </a:xfrm>
                    <a:prstGeom prst="rect">
                      <a:avLst/>
                    </a:prstGeom>
                    <a:ln w="12700" cap="flat">
                      <a:noFill/>
                      <a:miter lim="400000"/>
                    </a:ln>
                    <a:effectLst/>
                  </pic:spPr>
                </pic:pic>
              </a:graphicData>
            </a:graphic>
          </wp:inline>
        </w:drawing>
      </w:r>
    </w:p>
    <w:p w14:paraId="3E73A0D6" w14:textId="77777777" w:rsidR="00F34F47" w:rsidRDefault="00F34F47">
      <w:pPr>
        <w:pStyle w:val="Heading3"/>
        <w:shd w:val="clear" w:color="auto" w:fill="FFFFFF"/>
        <w:spacing w:before="0" w:after="0"/>
        <w:jc w:val="center"/>
        <w:rPr>
          <w:rFonts w:ascii="Calibri" w:eastAsia="Calibri" w:hAnsi="Calibri" w:cs="Calibri"/>
          <w:b w:val="0"/>
          <w:bCs w:val="0"/>
          <w:sz w:val="24"/>
          <w:szCs w:val="24"/>
        </w:rPr>
      </w:pPr>
    </w:p>
    <w:p w14:paraId="74EDFDF1" w14:textId="77777777" w:rsidR="00F34F47" w:rsidRDefault="00F34F47">
      <w:pPr>
        <w:pStyle w:val="Heading3"/>
        <w:shd w:val="clear" w:color="auto" w:fill="FFFFFF"/>
        <w:spacing w:before="0" w:after="0"/>
        <w:jc w:val="center"/>
        <w:rPr>
          <w:rFonts w:ascii="Calibri" w:eastAsia="Calibri" w:hAnsi="Calibri" w:cs="Calibri"/>
          <w:b w:val="0"/>
          <w:bCs w:val="0"/>
          <w:sz w:val="24"/>
          <w:szCs w:val="24"/>
        </w:rPr>
      </w:pPr>
    </w:p>
    <w:p w14:paraId="6933FC56" w14:textId="77777777" w:rsidR="00F34F47" w:rsidRDefault="00F34F47">
      <w:pPr>
        <w:pStyle w:val="Heading3"/>
        <w:shd w:val="clear" w:color="auto" w:fill="FFFFFF"/>
        <w:spacing w:before="0" w:after="0"/>
        <w:jc w:val="center"/>
        <w:rPr>
          <w:rFonts w:ascii="Calibri" w:eastAsia="Calibri" w:hAnsi="Calibri" w:cs="Calibri"/>
          <w:b w:val="0"/>
          <w:bCs w:val="0"/>
          <w:sz w:val="24"/>
          <w:szCs w:val="24"/>
        </w:rPr>
      </w:pPr>
    </w:p>
    <w:p w14:paraId="0A645DC4" w14:textId="67047384" w:rsidR="00F34F47" w:rsidRDefault="00D6356C">
      <w:pPr>
        <w:pStyle w:val="Heading3"/>
        <w:shd w:val="clear" w:color="auto" w:fill="FFFFFF"/>
        <w:spacing w:before="0" w:after="0"/>
        <w:jc w:val="center"/>
        <w:rPr>
          <w:rFonts w:ascii="Arial" w:eastAsia="Arial" w:hAnsi="Arial" w:cs="Arial"/>
          <w:sz w:val="24"/>
          <w:szCs w:val="24"/>
        </w:rPr>
      </w:pPr>
      <w:r>
        <w:rPr>
          <w:rFonts w:ascii="Arial" w:hAnsi="Arial"/>
          <w:b w:val="0"/>
          <w:bCs w:val="0"/>
          <w:sz w:val="24"/>
          <w:szCs w:val="24"/>
          <w:lang w:val="de-DE"/>
        </w:rPr>
        <w:t xml:space="preserve">Rudolf Steiner </w:t>
      </w:r>
      <w:r w:rsidR="004C1527">
        <w:rPr>
          <w:rFonts w:ascii="Arial" w:hAnsi="Arial"/>
          <w:b w:val="0"/>
          <w:bCs w:val="0"/>
          <w:sz w:val="24"/>
          <w:szCs w:val="24"/>
          <w:lang w:val="de-DE"/>
        </w:rPr>
        <w:t>College Canada</w:t>
      </w:r>
      <w:r>
        <w:rPr>
          <w:rFonts w:ascii="Arial" w:hAnsi="Arial"/>
          <w:b w:val="0"/>
          <w:bCs w:val="0"/>
          <w:sz w:val="24"/>
          <w:szCs w:val="24"/>
          <w:lang w:val="de-DE"/>
        </w:rPr>
        <w:t xml:space="preserve"> * 9100 Bathurst St. #4 * Thornhill, ON L4J 8C7</w:t>
      </w:r>
    </w:p>
    <w:p w14:paraId="476DD89B" w14:textId="77777777" w:rsidR="00F34F47" w:rsidRDefault="00D6356C">
      <w:pPr>
        <w:pStyle w:val="Heading3"/>
        <w:shd w:val="clear" w:color="auto" w:fill="FFFFFF"/>
        <w:spacing w:before="0" w:after="0"/>
        <w:jc w:val="center"/>
        <w:rPr>
          <w:sz w:val="24"/>
          <w:szCs w:val="24"/>
        </w:rPr>
      </w:pPr>
      <w:r>
        <w:rPr>
          <w:rFonts w:ascii="Arial" w:hAnsi="Arial"/>
          <w:b w:val="0"/>
          <w:bCs w:val="0"/>
          <w:sz w:val="24"/>
          <w:szCs w:val="24"/>
        </w:rPr>
        <w:t xml:space="preserve">905 764 7570 * </w:t>
      </w:r>
      <w:hyperlink r:id="rId9" w:history="1">
        <w:r>
          <w:rPr>
            <w:rStyle w:val="Hyperlink0"/>
            <w:sz w:val="24"/>
            <w:szCs w:val="24"/>
            <w:lang w:val="it-IT"/>
          </w:rPr>
          <w:t>info@rscc.ca</w:t>
        </w:r>
      </w:hyperlink>
      <w:r>
        <w:rPr>
          <w:rFonts w:ascii="Arial" w:hAnsi="Arial"/>
          <w:b w:val="0"/>
          <w:bCs w:val="0"/>
          <w:sz w:val="24"/>
          <w:szCs w:val="24"/>
        </w:rPr>
        <w:t xml:space="preserve"> * </w:t>
      </w:r>
      <w:hyperlink r:id="rId10" w:history="1">
        <w:r>
          <w:rPr>
            <w:rStyle w:val="Hyperlink0"/>
            <w:sz w:val="24"/>
            <w:szCs w:val="24"/>
          </w:rPr>
          <w:t>www.rscc.ca</w:t>
        </w:r>
      </w:hyperlink>
    </w:p>
    <w:p w14:paraId="4D6ACB87" w14:textId="77777777" w:rsidR="00D6356C" w:rsidRDefault="00D6356C">
      <w:pPr>
        <w:rPr>
          <w:rFonts w:ascii="Calibri" w:eastAsia="Calibri" w:hAnsi="Calibri" w:cs="Calibri"/>
          <w:b/>
          <w:bCs/>
          <w:color w:val="7030A0"/>
          <w:u w:color="7030A0"/>
          <w:lang w:eastAsia="en-CA"/>
          <w14:textOutline w14:w="0" w14:cap="flat" w14:cmpd="sng" w14:algn="ctr">
            <w14:noFill/>
            <w14:prstDash w14:val="solid"/>
            <w14:bevel/>
          </w14:textOutline>
        </w:rPr>
      </w:pPr>
      <w:r>
        <w:rPr>
          <w:b/>
          <w:bCs/>
          <w:color w:val="7030A0"/>
          <w:u w:color="7030A0"/>
        </w:rPr>
        <w:br w:type="page"/>
      </w:r>
    </w:p>
    <w:p w14:paraId="521D34EB" w14:textId="7BDC4C5F" w:rsidR="00F34F47" w:rsidRPr="00DC10AE" w:rsidRDefault="00D6356C">
      <w:pPr>
        <w:pStyle w:val="Body"/>
        <w:jc w:val="center"/>
        <w:rPr>
          <w:b/>
          <w:bCs/>
          <w:color w:val="7030A0"/>
          <w:sz w:val="24"/>
          <w:szCs w:val="24"/>
          <w:u w:color="7030A0"/>
        </w:rPr>
      </w:pPr>
      <w:r w:rsidRPr="00DC10AE">
        <w:rPr>
          <w:b/>
          <w:bCs/>
          <w:color w:val="7030A0"/>
          <w:sz w:val="24"/>
          <w:szCs w:val="24"/>
          <w:u w:color="7030A0"/>
          <w:lang w:val="en-US"/>
        </w:rPr>
        <w:lastRenderedPageBreak/>
        <w:t>Vidar Foundation Tuition Loan Program</w:t>
      </w:r>
    </w:p>
    <w:p w14:paraId="4583EC5E" w14:textId="77777777" w:rsidR="00F34F47" w:rsidRPr="00DC10AE" w:rsidRDefault="00D6356C">
      <w:pPr>
        <w:pStyle w:val="Body"/>
        <w:spacing w:before="240" w:after="240"/>
        <w:rPr>
          <w:b/>
          <w:bCs/>
          <w:sz w:val="24"/>
          <w:szCs w:val="24"/>
        </w:rPr>
      </w:pPr>
      <w:r w:rsidRPr="00DC10AE">
        <w:rPr>
          <w:b/>
          <w:bCs/>
          <w:sz w:val="24"/>
          <w:szCs w:val="24"/>
        </w:rPr>
        <w:t>Introduction</w:t>
      </w:r>
    </w:p>
    <w:p w14:paraId="710FB98C" w14:textId="46BE4081" w:rsidR="00F34F47" w:rsidRPr="00DC10AE" w:rsidRDefault="00D6356C">
      <w:pPr>
        <w:pStyle w:val="Body"/>
        <w:spacing w:before="120" w:after="120"/>
        <w:rPr>
          <w:sz w:val="24"/>
          <w:szCs w:val="24"/>
        </w:rPr>
      </w:pPr>
      <w:r w:rsidRPr="00DC10AE">
        <w:rPr>
          <w:sz w:val="24"/>
          <w:szCs w:val="24"/>
          <w:lang w:val="en-US"/>
        </w:rPr>
        <w:t>There is a demonstrated need for more Waldorf teachers and Waldorf early childhood educators across Canada. However, some prospective students are unable to afford the tuition for the relevant training courses available through Rudolf Steiner College Canada (RSCC) and the West Coast Institute for Studies in Anthroposophy (WCI). While these organizations have access to some bursary funding through the Association of Waldorf Schools of North America and some other tuition support, it is not sufficient to enable all eligible student</w:t>
      </w:r>
      <w:r w:rsidR="004C1527">
        <w:rPr>
          <w:sz w:val="24"/>
          <w:szCs w:val="24"/>
          <w:lang w:val="en-US"/>
        </w:rPr>
        <w:t>s</w:t>
      </w:r>
      <w:r w:rsidRPr="00DC10AE">
        <w:rPr>
          <w:sz w:val="24"/>
          <w:szCs w:val="24"/>
          <w:lang w:val="en-US"/>
        </w:rPr>
        <w:t xml:space="preserve"> to enro</w:t>
      </w:r>
      <w:r w:rsidR="004C1527">
        <w:rPr>
          <w:sz w:val="24"/>
          <w:szCs w:val="24"/>
          <w:lang w:val="en-US"/>
        </w:rPr>
        <w:t>l</w:t>
      </w:r>
      <w:r w:rsidRPr="00DC10AE">
        <w:rPr>
          <w:sz w:val="24"/>
          <w:szCs w:val="24"/>
          <w:lang w:val="en-US"/>
        </w:rPr>
        <w:t>l.</w:t>
      </w:r>
    </w:p>
    <w:p w14:paraId="034E232E" w14:textId="77777777" w:rsidR="00F34F47" w:rsidRPr="00DC10AE" w:rsidRDefault="00D6356C">
      <w:pPr>
        <w:pStyle w:val="Body"/>
        <w:spacing w:before="120" w:after="120"/>
        <w:rPr>
          <w:sz w:val="24"/>
          <w:szCs w:val="24"/>
        </w:rPr>
      </w:pPr>
      <w:r w:rsidRPr="00DC10AE">
        <w:rPr>
          <w:sz w:val="24"/>
          <w:szCs w:val="24"/>
          <w:lang w:val="en-US"/>
        </w:rPr>
        <w:t>Rudolf Steiner College Canada (RSCC) and the West Coast Institute for Studies in Anthroposophy (WCI) have partnered with the Vidar Foundation to establish the Vidar Tuition Loan Program (VTLP) for Waldorf Teacher Education and Waldorf Early Childhood Education Students in Canada.</w:t>
      </w:r>
    </w:p>
    <w:p w14:paraId="67A83DCD" w14:textId="77777777" w:rsidR="00F34F47" w:rsidRPr="00DC10AE" w:rsidRDefault="00D6356C">
      <w:pPr>
        <w:pStyle w:val="Body"/>
        <w:spacing w:before="240" w:after="240"/>
        <w:rPr>
          <w:b/>
          <w:bCs/>
          <w:sz w:val="24"/>
          <w:szCs w:val="24"/>
        </w:rPr>
      </w:pPr>
      <w:r w:rsidRPr="00DC10AE">
        <w:rPr>
          <w:b/>
          <w:bCs/>
          <w:sz w:val="24"/>
          <w:szCs w:val="24"/>
          <w:lang w:val="en-US"/>
        </w:rPr>
        <w:t>VTLP Terms</w:t>
      </w:r>
    </w:p>
    <w:p w14:paraId="3C57D41E" w14:textId="6CF6C1FF" w:rsidR="00F34F47" w:rsidRPr="00DC10AE" w:rsidRDefault="00D6356C">
      <w:pPr>
        <w:pStyle w:val="Body"/>
        <w:rPr>
          <w:sz w:val="24"/>
          <w:szCs w:val="24"/>
        </w:rPr>
      </w:pPr>
      <w:r w:rsidRPr="00DC10AE">
        <w:rPr>
          <w:sz w:val="24"/>
          <w:szCs w:val="24"/>
          <w:lang w:val="en-US"/>
        </w:rPr>
        <w:t xml:space="preserve">VTLP will offer limited, no-interest loans </w:t>
      </w:r>
      <w:r w:rsidRPr="00DC10AE">
        <w:rPr>
          <w:sz w:val="24"/>
          <w:szCs w:val="24"/>
          <w:u w:val="single"/>
          <w:lang w:val="en-US"/>
        </w:rPr>
        <w:t>up to a maximum of 80% of full tuition</w:t>
      </w:r>
      <w:r w:rsidRPr="00DC10AE">
        <w:rPr>
          <w:sz w:val="24"/>
          <w:szCs w:val="24"/>
          <w:lang w:val="en-US"/>
        </w:rPr>
        <w:t xml:space="preserve"> to eligible students</w:t>
      </w:r>
      <w:r w:rsidR="000D70E4">
        <w:rPr>
          <w:sz w:val="24"/>
          <w:szCs w:val="24"/>
          <w:lang w:val="en-US"/>
        </w:rPr>
        <w:t xml:space="preserve"> </w:t>
      </w:r>
      <w:r w:rsidR="000D70E4" w:rsidRPr="00D6356C">
        <w:rPr>
          <w:sz w:val="24"/>
          <w:szCs w:val="24"/>
          <w:lang w:val="en-US"/>
        </w:rPr>
        <w:t>(Canadian only)</w:t>
      </w:r>
      <w:r w:rsidRPr="00D6356C">
        <w:rPr>
          <w:sz w:val="24"/>
          <w:szCs w:val="24"/>
          <w:lang w:val="en-US"/>
        </w:rPr>
        <w:t>.</w:t>
      </w:r>
      <w:r w:rsidRPr="00DC10AE">
        <w:rPr>
          <w:sz w:val="24"/>
          <w:szCs w:val="24"/>
          <w:lang w:val="en-US"/>
        </w:rPr>
        <w:t xml:space="preserve">  The loan </w:t>
      </w:r>
      <w:proofErr w:type="spellStart"/>
      <w:r w:rsidRPr="00DC10AE">
        <w:rPr>
          <w:sz w:val="24"/>
          <w:szCs w:val="24"/>
          <w:lang w:val="en-US"/>
        </w:rPr>
        <w:t>doesn</w:t>
      </w:r>
      <w:proofErr w:type="spellEnd"/>
      <w:r w:rsidRPr="00DC10AE">
        <w:rPr>
          <w:sz w:val="24"/>
          <w:szCs w:val="24"/>
          <w:rtl/>
        </w:rPr>
        <w:t>’</w:t>
      </w:r>
      <w:r w:rsidRPr="00DC10AE">
        <w:rPr>
          <w:sz w:val="24"/>
          <w:szCs w:val="24"/>
          <w:lang w:val="en-US"/>
        </w:rPr>
        <w:t>t include covering expenses for books, travel, or accommodation. Loans will be secured through community co-signers (</w:t>
      </w:r>
      <w:r w:rsidRPr="00DC10AE">
        <w:rPr>
          <w:sz w:val="24"/>
          <w:szCs w:val="24"/>
          <w:rtl/>
        </w:rPr>
        <w:t>‘</w:t>
      </w:r>
      <w:r w:rsidRPr="00DC10AE">
        <w:rPr>
          <w:sz w:val="24"/>
          <w:szCs w:val="24"/>
          <w:lang w:val="en-US"/>
        </w:rPr>
        <w:t>loan guarantors</w:t>
      </w:r>
      <w:r w:rsidRPr="00DC10AE">
        <w:rPr>
          <w:sz w:val="24"/>
          <w:szCs w:val="24"/>
          <w:rtl/>
        </w:rPr>
        <w:t>’</w:t>
      </w:r>
      <w:r w:rsidRPr="00DC10AE">
        <w:rPr>
          <w:sz w:val="24"/>
          <w:szCs w:val="24"/>
          <w:lang w:val="en-US"/>
        </w:rPr>
        <w:t>) and will be repayable over a five-year period following graduation.</w:t>
      </w:r>
    </w:p>
    <w:p w14:paraId="107149EF" w14:textId="77777777" w:rsidR="00F34F47" w:rsidRPr="00DC10AE" w:rsidRDefault="00F34F47">
      <w:pPr>
        <w:pStyle w:val="Body"/>
        <w:rPr>
          <w:sz w:val="24"/>
          <w:szCs w:val="24"/>
        </w:rPr>
      </w:pPr>
    </w:p>
    <w:p w14:paraId="652E10CA" w14:textId="77777777" w:rsidR="00F34F47" w:rsidRPr="00DC10AE" w:rsidRDefault="00D6356C">
      <w:pPr>
        <w:pStyle w:val="Body"/>
        <w:rPr>
          <w:sz w:val="24"/>
          <w:szCs w:val="24"/>
        </w:rPr>
      </w:pPr>
      <w:r w:rsidRPr="00DC10AE">
        <w:rPr>
          <w:sz w:val="24"/>
          <w:szCs w:val="24"/>
          <w:lang w:val="en-US"/>
        </w:rPr>
        <w:t xml:space="preserve">A loan may </w:t>
      </w:r>
      <w:proofErr w:type="gramStart"/>
      <w:r w:rsidRPr="00DC10AE">
        <w:rPr>
          <w:sz w:val="24"/>
          <w:szCs w:val="24"/>
          <w:lang w:val="en-US"/>
        </w:rPr>
        <w:t>granted</w:t>
      </w:r>
      <w:proofErr w:type="gramEnd"/>
      <w:r w:rsidRPr="00DC10AE">
        <w:rPr>
          <w:sz w:val="24"/>
          <w:szCs w:val="24"/>
          <w:lang w:val="en-US"/>
        </w:rPr>
        <w:t xml:space="preserve"> for a 1 year, 2 year or 3 year course of study. While loans may be repaid sooner, all loans must be repaid within five years following graduation, and no bursaries will apply after this time. Monthly loan repayment rates must be at least $100/month. </w:t>
      </w:r>
    </w:p>
    <w:p w14:paraId="2AC1E64E" w14:textId="77777777" w:rsidR="00DC10AE" w:rsidRDefault="00DC10AE">
      <w:pPr>
        <w:pStyle w:val="Body"/>
        <w:rPr>
          <w:sz w:val="24"/>
          <w:szCs w:val="24"/>
          <w:lang w:val="en-US"/>
        </w:rPr>
      </w:pPr>
    </w:p>
    <w:p w14:paraId="334713B7" w14:textId="49E9D5F5" w:rsidR="00F34F47" w:rsidRPr="00DC10AE" w:rsidRDefault="00D6356C">
      <w:pPr>
        <w:pStyle w:val="Body"/>
        <w:rPr>
          <w:sz w:val="24"/>
          <w:szCs w:val="24"/>
        </w:rPr>
      </w:pPr>
      <w:r w:rsidRPr="00DC10AE">
        <w:rPr>
          <w:sz w:val="24"/>
          <w:szCs w:val="24"/>
          <w:lang w:val="en-US"/>
        </w:rPr>
        <w:t>In lieu of any interest on the loan, all students will be asked to make</w:t>
      </w:r>
      <w:r w:rsidRPr="00DC10AE">
        <w:rPr>
          <w:sz w:val="24"/>
          <w:szCs w:val="24"/>
        </w:rPr>
        <w:t xml:space="preserve"> a 5% </w:t>
      </w:r>
      <w:r w:rsidRPr="00DC10AE">
        <w:rPr>
          <w:sz w:val="24"/>
          <w:szCs w:val="24"/>
          <w:rtl/>
          <w:lang w:val="ar-SA"/>
        </w:rPr>
        <w:t>“</w:t>
      </w:r>
      <w:r w:rsidRPr="00DC10AE">
        <w:rPr>
          <w:sz w:val="24"/>
          <w:szCs w:val="24"/>
          <w:lang w:val="en-US"/>
        </w:rPr>
        <w:t>Growth Contribution</w:t>
      </w:r>
      <w:r w:rsidRPr="00DC10AE">
        <w:rPr>
          <w:sz w:val="24"/>
          <w:szCs w:val="24"/>
        </w:rPr>
        <w:t xml:space="preserve">” </w:t>
      </w:r>
      <w:r w:rsidRPr="00DC10AE">
        <w:rPr>
          <w:sz w:val="24"/>
          <w:szCs w:val="24"/>
          <w:lang w:val="en-US"/>
        </w:rPr>
        <w:t>payable upon enrolment. This is not an administrative fee, interest, or profit for Vidar. Your contribution will stay in the loan fund, to help it grow over time and support other students for many years to come</w:t>
      </w:r>
      <w:r w:rsidRPr="00DC10AE">
        <w:rPr>
          <w:sz w:val="24"/>
          <w:szCs w:val="24"/>
        </w:rPr>
        <w:t>.</w:t>
      </w:r>
    </w:p>
    <w:p w14:paraId="48CC1066" w14:textId="77777777" w:rsidR="00F34F47" w:rsidRPr="00DC10AE" w:rsidRDefault="00F34F47">
      <w:pPr>
        <w:pStyle w:val="Body"/>
        <w:rPr>
          <w:sz w:val="24"/>
          <w:szCs w:val="24"/>
        </w:rPr>
      </w:pPr>
    </w:p>
    <w:p w14:paraId="579DE661" w14:textId="77777777" w:rsidR="00F34F47" w:rsidRPr="00DC10AE" w:rsidRDefault="00D6356C">
      <w:pPr>
        <w:pStyle w:val="Body"/>
        <w:rPr>
          <w:b/>
          <w:bCs/>
          <w:sz w:val="24"/>
          <w:szCs w:val="24"/>
        </w:rPr>
      </w:pPr>
      <w:r w:rsidRPr="00DC10AE">
        <w:rPr>
          <w:b/>
          <w:bCs/>
          <w:sz w:val="24"/>
          <w:szCs w:val="24"/>
          <w:lang w:val="en-US"/>
        </w:rPr>
        <w:t>VTLP Bursaries</w:t>
      </w:r>
    </w:p>
    <w:p w14:paraId="5F9C0276" w14:textId="77777777" w:rsidR="00F34F47" w:rsidRPr="00DC10AE" w:rsidRDefault="00F34F47">
      <w:pPr>
        <w:pStyle w:val="Body"/>
        <w:rPr>
          <w:sz w:val="24"/>
          <w:szCs w:val="24"/>
        </w:rPr>
      </w:pPr>
    </w:p>
    <w:p w14:paraId="7F173FEE" w14:textId="534776D1" w:rsidR="00F34F47" w:rsidRPr="00DC10AE" w:rsidRDefault="00D6356C">
      <w:pPr>
        <w:pStyle w:val="Body"/>
        <w:rPr>
          <w:sz w:val="24"/>
          <w:szCs w:val="24"/>
        </w:rPr>
      </w:pPr>
      <w:r w:rsidRPr="00DC10AE">
        <w:rPr>
          <w:sz w:val="24"/>
          <w:szCs w:val="24"/>
          <w:lang w:val="en-US"/>
        </w:rPr>
        <w:t>As a gift from supporters of the VTLP who wish to help you succeed and teach at a Waldorf School,</w:t>
      </w:r>
      <w:r w:rsidR="00E8274D">
        <w:rPr>
          <w:sz w:val="24"/>
          <w:szCs w:val="24"/>
          <w:lang w:val="en-US"/>
        </w:rPr>
        <w:t xml:space="preserve"> </w:t>
      </w:r>
      <w:r w:rsidRPr="00DC10AE">
        <w:rPr>
          <w:sz w:val="24"/>
          <w:szCs w:val="24"/>
          <w:lang w:val="en-US"/>
        </w:rPr>
        <w:t>10% of your loan will be forgiven after each year of full-time teaching at a Canadian Waldorf School, to a maximum of 3 years and 30% of tuition in the 5 years after graduation</w:t>
      </w:r>
      <w:r w:rsidRPr="00DC10AE">
        <w:rPr>
          <w:sz w:val="24"/>
          <w:szCs w:val="24"/>
        </w:rPr>
        <w:t xml:space="preserve">. </w:t>
      </w:r>
      <w:r w:rsidRPr="00DC10AE">
        <w:rPr>
          <w:sz w:val="24"/>
          <w:szCs w:val="24"/>
          <w:lang w:val="en-US"/>
        </w:rPr>
        <w:t>This is in addition to any other tuition assistance or bursaries from other sources.</w:t>
      </w:r>
    </w:p>
    <w:p w14:paraId="0144A8FA" w14:textId="77777777" w:rsidR="00DC10AE" w:rsidRDefault="00DC10AE">
      <w:pPr>
        <w:pStyle w:val="Body"/>
        <w:rPr>
          <w:sz w:val="24"/>
          <w:szCs w:val="24"/>
        </w:rPr>
      </w:pPr>
    </w:p>
    <w:p w14:paraId="39FC9036" w14:textId="40C0790C" w:rsidR="00F34F47" w:rsidRDefault="00D6356C">
      <w:pPr>
        <w:pStyle w:val="Body"/>
        <w:rPr>
          <w:sz w:val="24"/>
          <w:szCs w:val="24"/>
        </w:rPr>
      </w:pPr>
      <w:r w:rsidRPr="00DC10AE">
        <w:rPr>
          <w:sz w:val="24"/>
          <w:szCs w:val="24"/>
          <w:lang w:val="en-US"/>
        </w:rPr>
        <w:t xml:space="preserve">To qualify for the bursary, you must fully </w:t>
      </w:r>
      <w:r w:rsidRPr="00DC10AE">
        <w:rPr>
          <w:sz w:val="24"/>
          <w:szCs w:val="24"/>
          <w:lang w:val="it-IT"/>
        </w:rPr>
        <w:t>complet</w:t>
      </w:r>
      <w:r w:rsidRPr="00DC10AE">
        <w:rPr>
          <w:sz w:val="24"/>
          <w:szCs w:val="24"/>
          <w:lang w:val="en-US"/>
        </w:rPr>
        <w:t>e</w:t>
      </w:r>
      <w:r w:rsidRPr="00DC10AE">
        <w:rPr>
          <w:sz w:val="24"/>
          <w:szCs w:val="24"/>
        </w:rPr>
        <w:t xml:space="preserve"> </w:t>
      </w:r>
      <w:r w:rsidRPr="00DC10AE">
        <w:rPr>
          <w:sz w:val="24"/>
          <w:szCs w:val="24"/>
          <w:lang w:val="en-US"/>
        </w:rPr>
        <w:t>your</w:t>
      </w:r>
      <w:r w:rsidRPr="00DC10AE">
        <w:rPr>
          <w:sz w:val="24"/>
          <w:szCs w:val="24"/>
        </w:rPr>
        <w:t xml:space="preserve"> program</w:t>
      </w:r>
      <w:r w:rsidRPr="00DC10AE">
        <w:rPr>
          <w:sz w:val="24"/>
          <w:szCs w:val="24"/>
          <w:lang w:val="en-US"/>
        </w:rPr>
        <w:t xml:space="preserve"> and your account must be in good standing with the school. Part-time years can be collected to an aggregate full-time year equivalent within the 5</w:t>
      </w:r>
      <w:r w:rsidR="00DC10AE">
        <w:rPr>
          <w:sz w:val="24"/>
          <w:szCs w:val="24"/>
          <w:lang w:val="en-US"/>
        </w:rPr>
        <w:t>-</w:t>
      </w:r>
      <w:r w:rsidRPr="00DC10AE">
        <w:rPr>
          <w:sz w:val="24"/>
          <w:szCs w:val="24"/>
          <w:lang w:val="en-US"/>
        </w:rPr>
        <w:t>year period</w:t>
      </w:r>
      <w:r w:rsidRPr="00DC10AE">
        <w:rPr>
          <w:sz w:val="24"/>
          <w:szCs w:val="24"/>
        </w:rPr>
        <w:t xml:space="preserve">. </w:t>
      </w:r>
    </w:p>
    <w:p w14:paraId="32F0A4F1" w14:textId="77777777" w:rsidR="00DC10AE" w:rsidRPr="00DC10AE" w:rsidRDefault="00DC10AE">
      <w:pPr>
        <w:pStyle w:val="Body"/>
        <w:rPr>
          <w:sz w:val="24"/>
          <w:szCs w:val="24"/>
        </w:rPr>
      </w:pPr>
    </w:p>
    <w:p w14:paraId="2935401C" w14:textId="4121D4B4" w:rsidR="00F34F47" w:rsidRPr="00DC10AE" w:rsidRDefault="00D6356C">
      <w:pPr>
        <w:pStyle w:val="Body"/>
        <w:rPr>
          <w:sz w:val="24"/>
          <w:szCs w:val="24"/>
        </w:rPr>
      </w:pPr>
      <w:r w:rsidRPr="00DC10AE">
        <w:rPr>
          <w:sz w:val="24"/>
          <w:szCs w:val="24"/>
          <w:lang w:val="en-US"/>
        </w:rPr>
        <w:t>Once contracted, students</w:t>
      </w:r>
      <w:r w:rsidRPr="00DC10AE">
        <w:rPr>
          <w:sz w:val="24"/>
          <w:szCs w:val="24"/>
          <w:rtl/>
        </w:rPr>
        <w:t>’</w:t>
      </w:r>
      <w:r w:rsidR="00DC10AE">
        <w:rPr>
          <w:rFonts w:hint="cs"/>
          <w:sz w:val="24"/>
          <w:szCs w:val="24"/>
          <w:rtl/>
        </w:rPr>
        <w:t xml:space="preserve"> </w:t>
      </w:r>
      <w:r w:rsidRPr="00DC10AE">
        <w:rPr>
          <w:sz w:val="24"/>
          <w:szCs w:val="24"/>
          <w:lang w:val="en-US"/>
        </w:rPr>
        <w:t>loans will be directly transferred from the VTLP account to RSCC and WCI accounts, according to the regular tuition payment schedule that students would follow if paying on their own.</w:t>
      </w:r>
    </w:p>
    <w:p w14:paraId="7AE93980" w14:textId="77777777" w:rsidR="00F34F47" w:rsidRPr="00DC10AE" w:rsidRDefault="00F34F47">
      <w:pPr>
        <w:pStyle w:val="Body"/>
        <w:spacing w:before="240" w:after="240"/>
        <w:rPr>
          <w:sz w:val="24"/>
          <w:szCs w:val="24"/>
        </w:rPr>
      </w:pPr>
    </w:p>
    <w:p w14:paraId="736C474F" w14:textId="77777777" w:rsidR="00F34F47" w:rsidRPr="00DC10AE" w:rsidRDefault="00D6356C">
      <w:pPr>
        <w:pStyle w:val="Body"/>
        <w:spacing w:before="240" w:after="240"/>
        <w:rPr>
          <w:b/>
          <w:bCs/>
          <w:sz w:val="24"/>
          <w:szCs w:val="24"/>
        </w:rPr>
      </w:pPr>
      <w:r w:rsidRPr="00DC10AE">
        <w:rPr>
          <w:b/>
          <w:bCs/>
          <w:sz w:val="24"/>
          <w:szCs w:val="24"/>
        </w:rPr>
        <w:lastRenderedPageBreak/>
        <w:t>Loan guarantors</w:t>
      </w:r>
    </w:p>
    <w:p w14:paraId="1BF88D73" w14:textId="77777777" w:rsidR="00F34F47" w:rsidRPr="00DC10AE" w:rsidRDefault="00D6356C">
      <w:pPr>
        <w:pStyle w:val="Body"/>
        <w:spacing w:before="120" w:after="120"/>
        <w:rPr>
          <w:sz w:val="24"/>
          <w:szCs w:val="24"/>
        </w:rPr>
      </w:pPr>
      <w:r w:rsidRPr="00DC10AE">
        <w:rPr>
          <w:sz w:val="24"/>
          <w:szCs w:val="24"/>
          <w:lang w:val="en-US"/>
        </w:rPr>
        <w:t>Each loan applicant will be asked to identify and approach community members who would be willing to act as loan co-signers (loan guarantors) and support their loan application in this way. The training institution will work with the applicant as required to secure sufficient loan guarantors, including locating guarantors from amongst the broader anthroposophical community as required.</w:t>
      </w:r>
    </w:p>
    <w:p w14:paraId="2957300C" w14:textId="77777777" w:rsidR="00F34F47" w:rsidRPr="00DC10AE" w:rsidRDefault="00D6356C">
      <w:pPr>
        <w:pStyle w:val="Body"/>
        <w:spacing w:before="120" w:after="120"/>
        <w:rPr>
          <w:sz w:val="24"/>
          <w:szCs w:val="24"/>
        </w:rPr>
      </w:pPr>
      <w:r w:rsidRPr="00DC10AE">
        <w:rPr>
          <w:sz w:val="24"/>
          <w:szCs w:val="24"/>
          <w:lang w:val="en-US"/>
        </w:rPr>
        <w:t>A co-signer agrees to pay back a portion of the loan should the student in question default on the payments. Co-signers sign a simple contract confirming their willingness to underwrite a specific portion of the loan.</w:t>
      </w:r>
    </w:p>
    <w:p w14:paraId="10DB09D7" w14:textId="77777777" w:rsidR="00F34F47" w:rsidRPr="00DC10AE" w:rsidRDefault="00D6356C">
      <w:pPr>
        <w:pStyle w:val="Body"/>
        <w:spacing w:before="240" w:after="240"/>
        <w:rPr>
          <w:b/>
          <w:bCs/>
          <w:sz w:val="24"/>
          <w:szCs w:val="24"/>
        </w:rPr>
      </w:pPr>
      <w:r w:rsidRPr="00DC10AE">
        <w:rPr>
          <w:b/>
          <w:bCs/>
          <w:sz w:val="24"/>
          <w:szCs w:val="24"/>
          <w:lang w:val="en-US"/>
        </w:rPr>
        <w:t>VTLP Loan application process</w:t>
      </w:r>
    </w:p>
    <w:p w14:paraId="3E15298A" w14:textId="77777777" w:rsidR="00F34F47" w:rsidRPr="00DC10AE" w:rsidRDefault="00D6356C">
      <w:pPr>
        <w:pStyle w:val="Body"/>
        <w:spacing w:before="120" w:after="120"/>
        <w:rPr>
          <w:sz w:val="24"/>
          <w:szCs w:val="24"/>
        </w:rPr>
      </w:pPr>
      <w:r w:rsidRPr="00DC10AE">
        <w:rPr>
          <w:sz w:val="24"/>
          <w:szCs w:val="24"/>
          <w:lang w:val="en-US"/>
        </w:rPr>
        <w:t>The loan application process consists of 3 stages:</w:t>
      </w:r>
    </w:p>
    <w:p w14:paraId="4CE761F5" w14:textId="655146A9" w:rsidR="00F34F47" w:rsidRPr="00DC10AE" w:rsidRDefault="00D6356C">
      <w:pPr>
        <w:pStyle w:val="ListParagraph"/>
        <w:numPr>
          <w:ilvl w:val="0"/>
          <w:numId w:val="2"/>
        </w:numPr>
        <w:spacing w:before="120" w:after="120" w:line="240" w:lineRule="auto"/>
        <w:rPr>
          <w:sz w:val="24"/>
          <w:szCs w:val="24"/>
        </w:rPr>
      </w:pPr>
      <w:r w:rsidRPr="00DC10AE">
        <w:rPr>
          <w:sz w:val="24"/>
          <w:szCs w:val="24"/>
        </w:rPr>
        <w:t xml:space="preserve">Students submit the Vidar loan application form to RSCC or </w:t>
      </w:r>
      <w:proofErr w:type="gramStart"/>
      <w:r w:rsidRPr="00DC10AE">
        <w:rPr>
          <w:sz w:val="24"/>
          <w:szCs w:val="24"/>
        </w:rPr>
        <w:t>WCI</w:t>
      </w:r>
      <w:r w:rsidR="004C1527">
        <w:rPr>
          <w:sz w:val="24"/>
          <w:szCs w:val="24"/>
        </w:rPr>
        <w:t>;</w:t>
      </w:r>
      <w:proofErr w:type="gramEnd"/>
    </w:p>
    <w:p w14:paraId="63A5D123" w14:textId="77777777" w:rsidR="00F34F47" w:rsidRPr="00DC10AE" w:rsidRDefault="00D6356C">
      <w:pPr>
        <w:pStyle w:val="ListParagraph"/>
        <w:numPr>
          <w:ilvl w:val="0"/>
          <w:numId w:val="2"/>
        </w:numPr>
        <w:spacing w:before="120" w:after="120" w:line="240" w:lineRule="auto"/>
        <w:rPr>
          <w:sz w:val="24"/>
          <w:szCs w:val="24"/>
        </w:rPr>
      </w:pPr>
      <w:r w:rsidRPr="00DC10AE">
        <w:rPr>
          <w:sz w:val="24"/>
          <w:szCs w:val="24"/>
        </w:rPr>
        <w:t xml:space="preserve">A short interview is held between the student and the RSCC/WCI </w:t>
      </w:r>
      <w:proofErr w:type="gramStart"/>
      <w:r w:rsidRPr="00DC10AE">
        <w:rPr>
          <w:sz w:val="24"/>
          <w:szCs w:val="24"/>
        </w:rPr>
        <w:t>representative;</w:t>
      </w:r>
      <w:proofErr w:type="gramEnd"/>
    </w:p>
    <w:p w14:paraId="6B552373" w14:textId="77777777" w:rsidR="00F34F47" w:rsidRPr="00DC10AE" w:rsidRDefault="00D6356C">
      <w:pPr>
        <w:pStyle w:val="ListParagraph"/>
        <w:numPr>
          <w:ilvl w:val="0"/>
          <w:numId w:val="2"/>
        </w:numPr>
        <w:spacing w:before="120"/>
        <w:rPr>
          <w:sz w:val="24"/>
          <w:szCs w:val="24"/>
        </w:rPr>
      </w:pPr>
      <w:r w:rsidRPr="00DC10AE">
        <w:rPr>
          <w:sz w:val="24"/>
          <w:szCs w:val="24"/>
        </w:rPr>
        <w:t>RSCC/WCI communicates the final decision to the student.</w:t>
      </w:r>
    </w:p>
    <w:sectPr w:rsidR="00F34F47" w:rsidRPr="00DC10AE">
      <w:headerReference w:type="default" r:id="rId11"/>
      <w:footerReference w:type="default" r:id="rId12"/>
      <w:pgSz w:w="12240" w:h="15840"/>
      <w:pgMar w:top="567"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2E15" w14:textId="77777777" w:rsidR="006274D8" w:rsidRDefault="006274D8">
      <w:r>
        <w:separator/>
      </w:r>
    </w:p>
  </w:endnote>
  <w:endnote w:type="continuationSeparator" w:id="0">
    <w:p w14:paraId="7146C850" w14:textId="77777777" w:rsidR="006274D8" w:rsidRDefault="0062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EF8C" w14:textId="77777777" w:rsidR="00F34F47" w:rsidRDefault="00F34F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C2E3" w14:textId="77777777" w:rsidR="006274D8" w:rsidRDefault="006274D8">
      <w:r>
        <w:separator/>
      </w:r>
    </w:p>
  </w:footnote>
  <w:footnote w:type="continuationSeparator" w:id="0">
    <w:p w14:paraId="56A81FE2" w14:textId="77777777" w:rsidR="006274D8" w:rsidRDefault="0062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A8A3" w14:textId="77777777" w:rsidR="00F34F47" w:rsidRDefault="00F34F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B6CBB"/>
    <w:multiLevelType w:val="hybridMultilevel"/>
    <w:tmpl w:val="13F05870"/>
    <w:styleLink w:val="ImportedStyle2"/>
    <w:lvl w:ilvl="0" w:tplc="5810D2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A645A2">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6C64A04">
      <w:start w:val="1"/>
      <w:numFmt w:val="lowerRoman"/>
      <w:lvlText w:val="%3."/>
      <w:lvlJc w:val="left"/>
      <w:pPr>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FE1C0B7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9283FA6">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D240848">
      <w:start w:val="1"/>
      <w:numFmt w:val="lowerRoman"/>
      <w:lvlText w:val="%6."/>
      <w:lvlJc w:val="left"/>
      <w:pPr>
        <w:ind w:left="434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F16EB5A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486436C">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CECED28">
      <w:start w:val="1"/>
      <w:numFmt w:val="lowerRoman"/>
      <w:lvlText w:val="%9."/>
      <w:lvlJc w:val="left"/>
      <w:pPr>
        <w:ind w:left="650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00A07C4"/>
    <w:multiLevelType w:val="hybridMultilevel"/>
    <w:tmpl w:val="13F05870"/>
    <w:numStyleLink w:val="ImportedStyle2"/>
  </w:abstractNum>
  <w:num w:numId="1" w16cid:durableId="901252793">
    <w:abstractNumId w:val="0"/>
  </w:num>
  <w:num w:numId="2" w16cid:durableId="249244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47"/>
    <w:rsid w:val="000D70E4"/>
    <w:rsid w:val="000E011C"/>
    <w:rsid w:val="001F3F18"/>
    <w:rsid w:val="004C1527"/>
    <w:rsid w:val="006274D8"/>
    <w:rsid w:val="006856FE"/>
    <w:rsid w:val="007B1719"/>
    <w:rsid w:val="00905C8D"/>
    <w:rsid w:val="009C7DF3"/>
    <w:rsid w:val="00A2396E"/>
    <w:rsid w:val="00BE3922"/>
    <w:rsid w:val="00D6356C"/>
    <w:rsid w:val="00DC10AE"/>
    <w:rsid w:val="00DD656D"/>
    <w:rsid w:val="00E8274D"/>
    <w:rsid w:val="00F34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8815"/>
  <w15:docId w15:val="{71D0236F-A224-4F52-8B1D-FDE1197B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uiPriority w:val="9"/>
    <w:unhideWhenUsed/>
    <w:qFormat/>
    <w:pPr>
      <w:spacing w:before="100" w:after="100"/>
      <w:outlineLvl w:val="2"/>
    </w:pPr>
    <w:rPr>
      <w:rFonts w:eastAsia="Times New Roman"/>
      <w:b/>
      <w:bCs/>
      <w:color w:val="000000"/>
      <w:sz w:val="27"/>
      <w:szCs w:val="27"/>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8"/>
      <w:szCs w:val="28"/>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BNS2">
    <w:name w:val="BNS2"/>
    <w:pPr>
      <w:tabs>
        <w:tab w:val="left" w:pos="720"/>
      </w:tabs>
      <w:spacing w:after="240"/>
      <w:jc w:val="both"/>
    </w:pPr>
    <w:rPr>
      <w:rFonts w:cs="Arial Unicode MS"/>
      <w:color w:val="000000"/>
      <w:sz w:val="24"/>
      <w:szCs w:val="24"/>
      <w:u w:color="000000"/>
      <w:lang w:val="en-US"/>
    </w:rPr>
  </w:style>
  <w:style w:type="character" w:customStyle="1" w:styleId="Link">
    <w:name w:val="Link"/>
    <w:rPr>
      <w:outline w:val="0"/>
      <w:color w:val="0000FF"/>
      <w:u w:val="single" w:color="000000"/>
    </w:rPr>
  </w:style>
  <w:style w:type="character" w:customStyle="1" w:styleId="Hyperlink0">
    <w:name w:val="Hyperlink.0"/>
    <w:basedOn w:val="Link"/>
    <w:rPr>
      <w:rFonts w:ascii="Arial" w:eastAsia="Arial" w:hAnsi="Arial" w:cs="Arial"/>
      <w:outline w:val="0"/>
      <w:color w:val="0000FF"/>
      <w:u w:val="single" w:color="000000"/>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pPr>
      <w:spacing w:before="100" w:after="100"/>
    </w:pPr>
    <w:rPr>
      <w:rFonts w:eastAsia="Times New Roman"/>
      <w:color w:val="000000"/>
      <w:sz w:val="24"/>
      <w:szCs w:val="24"/>
      <w:u w:color="000000"/>
      <w:lang w:val="en-US"/>
    </w:rPr>
  </w:style>
  <w:style w:type="character" w:customStyle="1" w:styleId="Hyperlink1">
    <w:name w:val="Hyperlink.1"/>
    <w:basedOn w:val="Link"/>
    <w:rPr>
      <w:rFonts w:ascii="Arial" w:eastAsia="Arial" w:hAnsi="Arial" w:cs="Arial"/>
      <w:outline w:val="0"/>
      <w:color w:val="E02B20"/>
      <w:u w:val="single" w:color="E02B2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scc.ca" TargetMode="External"/><Relationship Id="rId4" Type="http://schemas.openxmlformats.org/officeDocument/2006/relationships/webSettings" Target="webSettings.xml"/><Relationship Id="rId9" Type="http://schemas.openxmlformats.org/officeDocument/2006/relationships/hyperlink" Target="mailto:info@rsc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Chomko</cp:lastModifiedBy>
  <cp:revision>2</cp:revision>
  <cp:lastPrinted>2023-02-21T16:41:00Z</cp:lastPrinted>
  <dcterms:created xsi:type="dcterms:W3CDTF">2023-05-16T22:18:00Z</dcterms:created>
  <dcterms:modified xsi:type="dcterms:W3CDTF">2023-05-16T22:18:00Z</dcterms:modified>
</cp:coreProperties>
</file>